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FE" w:rsidRPr="00341B5B" w:rsidRDefault="006F6DFE" w:rsidP="0082209F">
      <w:pPr>
        <w:pStyle w:val="textnormal"/>
        <w:numPr>
          <w:ilvl w:val="0"/>
          <w:numId w:val="1"/>
        </w:numPr>
        <w:tabs>
          <w:tab w:val="clear" w:pos="720"/>
          <w:tab w:val="num" w:pos="360"/>
        </w:tabs>
        <w:spacing w:before="240" w:after="0" w:line="240" w:lineRule="auto"/>
        <w:ind w:left="360"/>
        <w:jc w:val="both"/>
        <w:rPr>
          <w:rFonts w:cs="Arial"/>
          <w:bCs/>
          <w:spacing w:val="-3"/>
          <w:sz w:val="22"/>
          <w:szCs w:val="22"/>
        </w:rPr>
      </w:pPr>
      <w:bookmarkStart w:id="0" w:name="_GoBack"/>
      <w:bookmarkEnd w:id="0"/>
      <w:r w:rsidRPr="00341B5B">
        <w:rPr>
          <w:rFonts w:cs="Arial"/>
          <w:bCs/>
          <w:spacing w:val="-3"/>
          <w:sz w:val="22"/>
          <w:szCs w:val="22"/>
        </w:rPr>
        <w:t xml:space="preserve">The Queensland Government is considering preparing a statutory regional plan for the Mackay, Hinterland and Whitsunday (WHAM) region under the </w:t>
      </w:r>
      <w:r w:rsidRPr="00341B5B">
        <w:rPr>
          <w:rFonts w:cs="Arial"/>
          <w:bCs/>
          <w:i/>
          <w:spacing w:val="-3"/>
          <w:sz w:val="22"/>
          <w:szCs w:val="22"/>
        </w:rPr>
        <w:t xml:space="preserve">Integrated Planning Act 1997 </w:t>
      </w:r>
      <w:r w:rsidRPr="00341B5B">
        <w:rPr>
          <w:rFonts w:cs="Arial"/>
          <w:bCs/>
          <w:spacing w:val="-3"/>
          <w:sz w:val="22"/>
          <w:szCs w:val="22"/>
        </w:rPr>
        <w:t>(IPA).</w:t>
      </w:r>
    </w:p>
    <w:p w:rsidR="006F6DFE" w:rsidRPr="00341B5B" w:rsidRDefault="006F6DFE" w:rsidP="0082209F">
      <w:pPr>
        <w:pStyle w:val="textnormal"/>
        <w:numPr>
          <w:ilvl w:val="0"/>
          <w:numId w:val="1"/>
        </w:numPr>
        <w:tabs>
          <w:tab w:val="clear" w:pos="720"/>
          <w:tab w:val="num" w:pos="360"/>
        </w:tabs>
        <w:spacing w:before="240" w:after="0" w:line="240" w:lineRule="auto"/>
        <w:ind w:left="360"/>
        <w:jc w:val="both"/>
        <w:rPr>
          <w:rFonts w:cs="Arial"/>
          <w:bCs/>
          <w:spacing w:val="-3"/>
          <w:sz w:val="22"/>
          <w:szCs w:val="22"/>
        </w:rPr>
      </w:pPr>
      <w:r w:rsidRPr="00341B5B">
        <w:rPr>
          <w:rFonts w:cs="Arial"/>
          <w:bCs/>
          <w:spacing w:val="-3"/>
          <w:sz w:val="22"/>
          <w:szCs w:val="22"/>
        </w:rPr>
        <w:t>If a statutory regional plan was to be developed for the WHAM region, it will give the State power to guide the development of planning schemes and assess major developments under the IPA.</w:t>
      </w:r>
    </w:p>
    <w:p w:rsidR="006F6DFE" w:rsidRPr="00341B5B" w:rsidRDefault="006F6DFE" w:rsidP="0082209F">
      <w:pPr>
        <w:pStyle w:val="textnormal"/>
        <w:numPr>
          <w:ilvl w:val="0"/>
          <w:numId w:val="1"/>
        </w:numPr>
        <w:tabs>
          <w:tab w:val="clear" w:pos="720"/>
          <w:tab w:val="num" w:pos="360"/>
        </w:tabs>
        <w:spacing w:before="240" w:after="0" w:line="240" w:lineRule="auto"/>
        <w:ind w:left="360"/>
        <w:jc w:val="both"/>
        <w:rPr>
          <w:rFonts w:cs="Arial"/>
          <w:bCs/>
          <w:spacing w:val="-3"/>
          <w:sz w:val="22"/>
          <w:szCs w:val="22"/>
        </w:rPr>
      </w:pPr>
      <w:r w:rsidRPr="00341B5B">
        <w:rPr>
          <w:rFonts w:cs="Arial"/>
          <w:bCs/>
          <w:spacing w:val="-3"/>
          <w:sz w:val="22"/>
          <w:szCs w:val="22"/>
        </w:rPr>
        <w:t>A statutory regional plan for the WHAM region would be completed in late 2011</w:t>
      </w:r>
      <w:r w:rsidR="00F41661">
        <w:rPr>
          <w:rFonts w:cs="Arial"/>
          <w:bCs/>
          <w:spacing w:val="-3"/>
          <w:sz w:val="22"/>
          <w:szCs w:val="22"/>
        </w:rPr>
        <w:t>,</w:t>
      </w:r>
      <w:r w:rsidRPr="00341B5B">
        <w:rPr>
          <w:rFonts w:cs="Arial"/>
          <w:bCs/>
          <w:spacing w:val="-3"/>
          <w:sz w:val="22"/>
          <w:szCs w:val="22"/>
        </w:rPr>
        <w:t xml:space="preserve"> or early 2012</w:t>
      </w:r>
      <w:r w:rsidR="00F41661">
        <w:rPr>
          <w:rFonts w:cs="Arial"/>
          <w:bCs/>
          <w:spacing w:val="-3"/>
          <w:sz w:val="22"/>
          <w:szCs w:val="22"/>
        </w:rPr>
        <w:t>,</w:t>
      </w:r>
      <w:r w:rsidRPr="00341B5B">
        <w:rPr>
          <w:rFonts w:cs="Arial"/>
          <w:bCs/>
          <w:spacing w:val="-3"/>
          <w:sz w:val="22"/>
          <w:szCs w:val="22"/>
        </w:rPr>
        <w:t xml:space="preserve"> and would provide a planning horizon to 2031.</w:t>
      </w:r>
    </w:p>
    <w:p w:rsidR="006F6DFE" w:rsidRPr="00341B5B" w:rsidRDefault="006F6DFE" w:rsidP="0082209F">
      <w:pPr>
        <w:pStyle w:val="textnormal"/>
        <w:numPr>
          <w:ilvl w:val="0"/>
          <w:numId w:val="1"/>
        </w:numPr>
        <w:tabs>
          <w:tab w:val="clear" w:pos="720"/>
          <w:tab w:val="num" w:pos="360"/>
        </w:tabs>
        <w:spacing w:before="240" w:after="0" w:line="240" w:lineRule="auto"/>
        <w:ind w:left="360"/>
        <w:jc w:val="both"/>
        <w:rPr>
          <w:rFonts w:cs="Arial"/>
          <w:bCs/>
          <w:spacing w:val="-3"/>
          <w:sz w:val="22"/>
          <w:szCs w:val="22"/>
        </w:rPr>
      </w:pPr>
      <w:r w:rsidRPr="00341B5B">
        <w:rPr>
          <w:rFonts w:cs="Arial"/>
          <w:bCs/>
          <w:spacing w:val="-3"/>
          <w:sz w:val="22"/>
          <w:szCs w:val="22"/>
        </w:rPr>
        <w:t>As part of the development of the statutory regional pla</w:t>
      </w:r>
      <w:r>
        <w:rPr>
          <w:rFonts w:cs="Arial"/>
          <w:bCs/>
          <w:spacing w:val="-3"/>
          <w:sz w:val="22"/>
          <w:szCs w:val="22"/>
        </w:rPr>
        <w:t>n, there will be community and G</w:t>
      </w:r>
      <w:r w:rsidRPr="00341B5B">
        <w:rPr>
          <w:rFonts w:cs="Arial"/>
          <w:bCs/>
          <w:spacing w:val="-3"/>
          <w:sz w:val="22"/>
          <w:szCs w:val="22"/>
        </w:rPr>
        <w:t>overnment consultation.</w:t>
      </w:r>
    </w:p>
    <w:p w:rsidR="006F6DFE" w:rsidRDefault="006F6DFE" w:rsidP="0082209F">
      <w:pPr>
        <w:pStyle w:val="textnormal"/>
        <w:numPr>
          <w:ilvl w:val="0"/>
          <w:numId w:val="1"/>
        </w:numPr>
        <w:tabs>
          <w:tab w:val="clear" w:pos="720"/>
          <w:tab w:val="num" w:pos="360"/>
        </w:tabs>
        <w:spacing w:before="240" w:after="0" w:line="240" w:lineRule="auto"/>
        <w:ind w:left="360"/>
        <w:jc w:val="both"/>
        <w:rPr>
          <w:rFonts w:cs="Arial"/>
          <w:bCs/>
          <w:spacing w:val="-3"/>
          <w:sz w:val="22"/>
          <w:szCs w:val="22"/>
        </w:rPr>
      </w:pPr>
      <w:r w:rsidRPr="00F41661">
        <w:rPr>
          <w:rFonts w:cs="Arial"/>
          <w:bCs/>
          <w:spacing w:val="-3"/>
          <w:sz w:val="22"/>
          <w:szCs w:val="22"/>
          <w:u w:val="single"/>
        </w:rPr>
        <w:t>Cabinet endorsed</w:t>
      </w:r>
      <w:r w:rsidRPr="00341B5B">
        <w:rPr>
          <w:rFonts w:cs="Arial"/>
          <w:bCs/>
          <w:spacing w:val="-3"/>
          <w:sz w:val="22"/>
          <w:szCs w:val="22"/>
        </w:rPr>
        <w:t xml:space="preserve"> the Minister for Infrastructure and Planning’s declaration to prepare a statutory regional plan for the Whitsunday, Hinterland and Mackay (WHAM) region.</w:t>
      </w:r>
    </w:p>
    <w:p w:rsidR="00F41661" w:rsidRPr="0082209F" w:rsidRDefault="00F41661" w:rsidP="0082209F">
      <w:pPr>
        <w:pStyle w:val="textnormal"/>
        <w:numPr>
          <w:ilvl w:val="0"/>
          <w:numId w:val="1"/>
        </w:numPr>
        <w:tabs>
          <w:tab w:val="clear" w:pos="720"/>
          <w:tab w:val="num" w:pos="360"/>
        </w:tabs>
        <w:spacing w:before="360" w:after="0" w:line="240" w:lineRule="auto"/>
        <w:ind w:left="360" w:hanging="357"/>
        <w:rPr>
          <w:rFonts w:cs="Arial"/>
          <w:bCs/>
          <w:spacing w:val="-3"/>
          <w:sz w:val="22"/>
          <w:szCs w:val="22"/>
        </w:rPr>
      </w:pPr>
      <w:r w:rsidRPr="00F41661">
        <w:rPr>
          <w:rFonts w:cs="Arial"/>
          <w:bCs/>
          <w:i/>
          <w:spacing w:val="-3"/>
          <w:sz w:val="22"/>
          <w:szCs w:val="22"/>
          <w:u w:val="single"/>
        </w:rPr>
        <w:t>Attachments</w:t>
      </w:r>
    </w:p>
    <w:p w:rsidR="00E1344E" w:rsidRPr="0082209F" w:rsidRDefault="00F41661" w:rsidP="0082209F">
      <w:pPr>
        <w:pStyle w:val="textnormal"/>
        <w:numPr>
          <w:ilvl w:val="0"/>
          <w:numId w:val="2"/>
        </w:numPr>
        <w:spacing w:before="120" w:after="0" w:line="240" w:lineRule="auto"/>
        <w:ind w:hanging="357"/>
        <w:rPr>
          <w:rFonts w:cs="Arial"/>
          <w:bCs/>
          <w:spacing w:val="-3"/>
          <w:sz w:val="22"/>
          <w:szCs w:val="22"/>
        </w:rPr>
      </w:pPr>
      <w:r>
        <w:rPr>
          <w:rFonts w:cs="Arial"/>
          <w:bCs/>
          <w:spacing w:val="-3"/>
          <w:sz w:val="22"/>
          <w:szCs w:val="22"/>
        </w:rPr>
        <w:t>Nil</w:t>
      </w:r>
      <w:r w:rsidR="0082209F">
        <w:rPr>
          <w:rFonts w:cs="Arial"/>
          <w:bCs/>
          <w:spacing w:val="-3"/>
          <w:sz w:val="22"/>
          <w:szCs w:val="22"/>
        </w:rPr>
        <w:t>.</w:t>
      </w:r>
    </w:p>
    <w:sectPr w:rsidR="00E1344E" w:rsidRPr="0082209F" w:rsidSect="00192EDC">
      <w:headerReference w:type="default" r:id="rId7"/>
      <w:headerReference w:type="first" r:id="rId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E8" w:rsidRDefault="00685CE8">
      <w:r>
        <w:separator/>
      </w:r>
    </w:p>
  </w:endnote>
  <w:endnote w:type="continuationSeparator" w:id="0">
    <w:p w:rsidR="00685CE8" w:rsidRDefault="0068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E8" w:rsidRDefault="00685CE8">
      <w:r>
        <w:separator/>
      </w:r>
    </w:p>
  </w:footnote>
  <w:footnote w:type="continuationSeparator" w:id="0">
    <w:p w:rsidR="00685CE8" w:rsidRDefault="0068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9F" w:rsidRPr="0082209F" w:rsidRDefault="0082209F" w:rsidP="0082209F">
    <w:pPr>
      <w:pStyle w:val="Header"/>
      <w:ind w:firstLine="2880"/>
      <w:rPr>
        <w:rFonts w:ascii="Arial" w:hAnsi="Arial" w:cs="Arial"/>
      </w:rPr>
    </w:pPr>
  </w:p>
  <w:p w:rsidR="0082209F" w:rsidRPr="0082209F" w:rsidRDefault="0082209F" w:rsidP="0082209F">
    <w:pPr>
      <w:pStyle w:val="Header"/>
      <w:ind w:firstLine="2880"/>
      <w:rPr>
        <w:rFonts w:ascii="Arial" w:hAnsi="Arial" w:cs="Arial"/>
        <w:b/>
        <w:sz w:val="22"/>
        <w:szCs w:val="22"/>
        <w:u w:val="single"/>
      </w:rPr>
    </w:pPr>
    <w:r w:rsidRPr="0082209F">
      <w:rPr>
        <w:rFonts w:ascii="Arial" w:hAnsi="Arial" w:cs="Arial"/>
        <w:noProof/>
      </w:rPr>
      <w:drawing>
        <wp:anchor distT="0" distB="0" distL="114300" distR="114300" simplePos="0" relativeHeight="251659776" behindDoc="0" locked="0" layoutInCell="1" allowOverlap="1" wp14:anchorId="54A1B590" wp14:editId="5ABF3345">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Pr="0082209F">
      <w:rPr>
        <w:rFonts w:ascii="Arial" w:hAnsi="Arial" w:cs="Arial"/>
        <w:b/>
        <w:sz w:val="22"/>
        <w:szCs w:val="22"/>
        <w:u w:val="single"/>
      </w:rPr>
      <w:t>Cabinet – October 2009</w:t>
    </w:r>
  </w:p>
  <w:p w:rsidR="0082209F" w:rsidRPr="0082209F" w:rsidRDefault="0082209F" w:rsidP="0082209F">
    <w:pPr>
      <w:pStyle w:val="Header"/>
      <w:spacing w:before="120"/>
      <w:rPr>
        <w:rFonts w:ascii="Arial" w:hAnsi="Arial" w:cs="Arial"/>
        <w:b/>
        <w:sz w:val="22"/>
        <w:szCs w:val="22"/>
        <w:u w:val="single"/>
      </w:rPr>
    </w:pPr>
    <w:r w:rsidRPr="0082209F">
      <w:rPr>
        <w:rFonts w:ascii="Arial" w:hAnsi="Arial" w:cs="Arial"/>
        <w:b/>
        <w:sz w:val="22"/>
        <w:szCs w:val="22"/>
        <w:u w:val="single"/>
      </w:rPr>
      <w:t>Statutory Regional Plan for the Whitsunday, Hinterland and Mackay region</w:t>
    </w:r>
  </w:p>
  <w:p w:rsidR="0082209F" w:rsidRPr="0082209F" w:rsidRDefault="0082209F" w:rsidP="0082209F">
    <w:pPr>
      <w:pStyle w:val="Header"/>
      <w:spacing w:before="120"/>
      <w:rPr>
        <w:rFonts w:ascii="Arial" w:hAnsi="Arial" w:cs="Arial"/>
        <w:b/>
        <w:sz w:val="22"/>
        <w:szCs w:val="22"/>
        <w:u w:val="single"/>
      </w:rPr>
    </w:pPr>
    <w:r w:rsidRPr="0082209F">
      <w:rPr>
        <w:rFonts w:ascii="Arial" w:hAnsi="Arial" w:cs="Arial"/>
        <w:b/>
        <w:sz w:val="22"/>
        <w:szCs w:val="22"/>
        <w:u w:val="single"/>
      </w:rPr>
      <w:t>Minister for Infrastructure and Planning</w:t>
    </w:r>
  </w:p>
  <w:p w:rsidR="0082209F" w:rsidRPr="0082209F" w:rsidRDefault="0082209F" w:rsidP="0082209F">
    <w:pPr>
      <w:pStyle w:val="Header"/>
      <w:pBdr>
        <w:bottom w:val="single" w:sz="4" w:space="1" w:color="auto"/>
      </w:pBd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DC" w:rsidRDefault="00192EDC">
    <w:pPr>
      <w:pStyle w:val="Header"/>
    </w:pPr>
  </w:p>
  <w:p w:rsidR="00192EDC" w:rsidRPr="005F5D4E" w:rsidRDefault="00192EDC" w:rsidP="00192EDC">
    <w:pPr>
      <w:pStyle w:val="Header"/>
      <w:ind w:firstLine="2880"/>
      <w:jc w:val="right"/>
      <w:rPr>
        <w:rFonts w:ascii="Arial" w:hAnsi="Arial" w:cs="Arial"/>
        <w:b/>
        <w:sz w:val="22"/>
        <w:szCs w:val="22"/>
      </w:rPr>
    </w:pPr>
  </w:p>
  <w:p w:rsidR="00192EDC" w:rsidRDefault="00192EDC" w:rsidP="00192EDC">
    <w:pPr>
      <w:pStyle w:val="Header"/>
      <w:ind w:firstLine="2880"/>
      <w:rPr>
        <w:rFonts w:ascii="Arial" w:hAnsi="Arial" w:cs="Arial"/>
        <w:b/>
        <w:sz w:val="22"/>
        <w:szCs w:val="22"/>
        <w:u w:val="single"/>
      </w:rPr>
    </w:pPr>
  </w:p>
  <w:p w:rsidR="00192EDC" w:rsidRPr="005F5D4E" w:rsidRDefault="0074037D" w:rsidP="00192EDC">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92EDC" w:rsidRPr="000400F9">
      <w:rPr>
        <w:rFonts w:ascii="Arial" w:hAnsi="Arial" w:cs="Arial"/>
        <w:b/>
        <w:sz w:val="22"/>
        <w:szCs w:val="22"/>
        <w:u w:val="single"/>
      </w:rPr>
      <w:t xml:space="preserve">Cabinet – </w:t>
    </w:r>
    <w:r w:rsidR="00192EDC">
      <w:rPr>
        <w:rFonts w:ascii="Arial" w:hAnsi="Arial" w:cs="Arial"/>
        <w:b/>
        <w:sz w:val="22"/>
        <w:szCs w:val="22"/>
        <w:u w:val="single"/>
      </w:rPr>
      <w:t>October 2009</w:t>
    </w:r>
    <w:r w:rsidR="00192EDC">
      <w:rPr>
        <w:rFonts w:ascii="Arial" w:hAnsi="Arial" w:cs="Arial"/>
        <w:b/>
        <w:sz w:val="22"/>
        <w:szCs w:val="22"/>
      </w:rPr>
      <w:tab/>
    </w:r>
  </w:p>
  <w:p w:rsidR="00192EDC" w:rsidRDefault="00192EDC" w:rsidP="00192EDC">
    <w:pPr>
      <w:pStyle w:val="Header"/>
      <w:spacing w:before="120"/>
      <w:rPr>
        <w:rFonts w:ascii="Arial" w:hAnsi="Arial" w:cs="Arial"/>
        <w:b/>
        <w:sz w:val="22"/>
        <w:szCs w:val="22"/>
        <w:u w:val="single"/>
      </w:rPr>
    </w:pPr>
    <w:r>
      <w:rPr>
        <w:rFonts w:ascii="Arial" w:hAnsi="Arial" w:cs="Arial"/>
        <w:b/>
        <w:sz w:val="22"/>
        <w:szCs w:val="22"/>
        <w:u w:val="single"/>
      </w:rPr>
      <w:t>Wide Bay Burnett Regulatory Provisions 2009</w:t>
    </w:r>
  </w:p>
  <w:p w:rsidR="00192EDC" w:rsidRDefault="00192EDC" w:rsidP="00192EDC">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192EDC" w:rsidRPr="00F10DF9" w:rsidRDefault="00192EDC" w:rsidP="00192EDC">
    <w:pPr>
      <w:pStyle w:val="Header"/>
      <w:pBdr>
        <w:bottom w:val="single" w:sz="8" w:space="1" w:color="auto"/>
      </w:pBdr>
      <w:spacing w:line="180" w:lineRule="exact"/>
      <w:rPr>
        <w:rFonts w:ascii="Arial" w:hAnsi="Arial" w:cs="Arial"/>
        <w:sz w:val="22"/>
        <w:szCs w:val="22"/>
      </w:rPr>
    </w:pPr>
  </w:p>
  <w:p w:rsidR="00192EDC" w:rsidRPr="0033391A" w:rsidRDefault="00192EDC" w:rsidP="00192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70F72"/>
    <w:multiLevelType w:val="hybridMultilevel"/>
    <w:tmpl w:val="63284A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FE"/>
    <w:rsid w:val="0002421D"/>
    <w:rsid w:val="00074790"/>
    <w:rsid w:val="00080D3F"/>
    <w:rsid w:val="0008227E"/>
    <w:rsid w:val="000E7CB5"/>
    <w:rsid w:val="00101A24"/>
    <w:rsid w:val="00126222"/>
    <w:rsid w:val="00131AE0"/>
    <w:rsid w:val="00166D86"/>
    <w:rsid w:val="00192EDC"/>
    <w:rsid w:val="0019688A"/>
    <w:rsid w:val="001A4EFA"/>
    <w:rsid w:val="001D1941"/>
    <w:rsid w:val="001E1544"/>
    <w:rsid w:val="001E7B46"/>
    <w:rsid w:val="00222DA6"/>
    <w:rsid w:val="00250603"/>
    <w:rsid w:val="00265ACE"/>
    <w:rsid w:val="002F1F73"/>
    <w:rsid w:val="002F3C90"/>
    <w:rsid w:val="00321F63"/>
    <w:rsid w:val="00344A80"/>
    <w:rsid w:val="0038472A"/>
    <w:rsid w:val="004047F5"/>
    <w:rsid w:val="00410BFF"/>
    <w:rsid w:val="004324EE"/>
    <w:rsid w:val="00496601"/>
    <w:rsid w:val="004A28DC"/>
    <w:rsid w:val="005529EC"/>
    <w:rsid w:val="005964B8"/>
    <w:rsid w:val="005A2D34"/>
    <w:rsid w:val="006545CA"/>
    <w:rsid w:val="00667C65"/>
    <w:rsid w:val="00685CE8"/>
    <w:rsid w:val="006B492D"/>
    <w:rsid w:val="006E5DDD"/>
    <w:rsid w:val="006F6DFE"/>
    <w:rsid w:val="0074037D"/>
    <w:rsid w:val="00760612"/>
    <w:rsid w:val="00773314"/>
    <w:rsid w:val="00783652"/>
    <w:rsid w:val="007D0999"/>
    <w:rsid w:val="007F1CA0"/>
    <w:rsid w:val="00817085"/>
    <w:rsid w:val="0082209F"/>
    <w:rsid w:val="00844104"/>
    <w:rsid w:val="00874F0E"/>
    <w:rsid w:val="008B4579"/>
    <w:rsid w:val="008C508D"/>
    <w:rsid w:val="008D4AD6"/>
    <w:rsid w:val="008E2424"/>
    <w:rsid w:val="00920873"/>
    <w:rsid w:val="00934630"/>
    <w:rsid w:val="00942956"/>
    <w:rsid w:val="009A1869"/>
    <w:rsid w:val="009F6325"/>
    <w:rsid w:val="00A552C1"/>
    <w:rsid w:val="00A853A8"/>
    <w:rsid w:val="00A90377"/>
    <w:rsid w:val="00AA5B1C"/>
    <w:rsid w:val="00AD59B4"/>
    <w:rsid w:val="00B1739B"/>
    <w:rsid w:val="00B24D9C"/>
    <w:rsid w:val="00B36D09"/>
    <w:rsid w:val="00B50AFC"/>
    <w:rsid w:val="00B8478A"/>
    <w:rsid w:val="00B9483C"/>
    <w:rsid w:val="00C1235D"/>
    <w:rsid w:val="00C13073"/>
    <w:rsid w:val="00C134E8"/>
    <w:rsid w:val="00C41592"/>
    <w:rsid w:val="00C44259"/>
    <w:rsid w:val="00C45C0E"/>
    <w:rsid w:val="00C541A9"/>
    <w:rsid w:val="00C66EA9"/>
    <w:rsid w:val="00C90A2C"/>
    <w:rsid w:val="00C9659D"/>
    <w:rsid w:val="00CF42E2"/>
    <w:rsid w:val="00D24445"/>
    <w:rsid w:val="00D318DA"/>
    <w:rsid w:val="00D60783"/>
    <w:rsid w:val="00D9062C"/>
    <w:rsid w:val="00D97819"/>
    <w:rsid w:val="00DC5CEF"/>
    <w:rsid w:val="00DE185A"/>
    <w:rsid w:val="00DE517A"/>
    <w:rsid w:val="00DF3E74"/>
    <w:rsid w:val="00E1344E"/>
    <w:rsid w:val="00E246AE"/>
    <w:rsid w:val="00E61356"/>
    <w:rsid w:val="00E74D9D"/>
    <w:rsid w:val="00E846E4"/>
    <w:rsid w:val="00EE6E87"/>
    <w:rsid w:val="00F074A1"/>
    <w:rsid w:val="00F27626"/>
    <w:rsid w:val="00F326E6"/>
    <w:rsid w:val="00F32719"/>
    <w:rsid w:val="00F41661"/>
    <w:rsid w:val="00F87FD0"/>
    <w:rsid w:val="00F93C78"/>
    <w:rsid w:val="00FB4663"/>
    <w:rsid w:val="00FB4831"/>
    <w:rsid w:val="00FE1464"/>
    <w:rsid w:val="00FE4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F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DFE"/>
    <w:pPr>
      <w:tabs>
        <w:tab w:val="center" w:pos="4153"/>
        <w:tab w:val="right" w:pos="8306"/>
      </w:tabs>
    </w:pPr>
    <w:rPr>
      <w:color w:val="auto"/>
    </w:rPr>
  </w:style>
  <w:style w:type="paragraph" w:styleId="Footer">
    <w:name w:val="footer"/>
    <w:basedOn w:val="Normal"/>
    <w:rsid w:val="006F6DFE"/>
    <w:pPr>
      <w:tabs>
        <w:tab w:val="center" w:pos="4153"/>
        <w:tab w:val="right" w:pos="8306"/>
      </w:tabs>
    </w:pPr>
  </w:style>
  <w:style w:type="paragraph" w:customStyle="1" w:styleId="textnormal">
    <w:name w:val="text normal"/>
    <w:basedOn w:val="Normal"/>
    <w:rsid w:val="006F6DFE"/>
    <w:pPr>
      <w:spacing w:after="120" w:line="280" w:lineRule="exact"/>
    </w:pPr>
    <w:rPr>
      <w:rFonts w:ascii="Arial" w:hAnsi="Arial"/>
      <w:color w:val="auto"/>
      <w:sz w:val="20"/>
      <w:szCs w:val="24"/>
      <w:lang w:eastAsia="en-US"/>
    </w:rPr>
  </w:style>
  <w:style w:type="paragraph" w:styleId="BalloonText">
    <w:name w:val="Balloon Text"/>
    <w:basedOn w:val="Normal"/>
    <w:semiHidden/>
    <w:rsid w:val="00F4166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695</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CharactersWithSpaces>
  <SharedDoc>false</SharedDoc>
  <HyperlinkBase>https://www.cabinet.qld.gov.au/documents/2009/Oct/Statutory Regional Plan/</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infrastructure,regional_development,Whitsunday</cp:keywords>
  <dc:description/>
  <cp:lastModifiedBy/>
  <cp:revision>2</cp:revision>
  <cp:lastPrinted>2010-03-22T04:09:00Z</cp:lastPrinted>
  <dcterms:created xsi:type="dcterms:W3CDTF">2017-10-24T22:03:00Z</dcterms:created>
  <dcterms:modified xsi:type="dcterms:W3CDTF">2018-03-06T00:59:00Z</dcterms:modified>
  <cp:category>infrastructure,regional_development</cp:category>
</cp:coreProperties>
</file>